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0239711B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212109" w:rsidRPr="00212109">
        <w:rPr>
          <w:rFonts w:ascii="Arial" w:eastAsia="Arial" w:hAnsi="Arial" w:cs="Arial"/>
          <w:b/>
          <w:bCs/>
          <w:color w:val="000000"/>
          <w:sz w:val="25"/>
          <w:szCs w:val="25"/>
        </w:rPr>
        <w:t>Vypracovanie a dodanie projektovej dokumentácie pre územné rozhodnutie (DÚR) k stavbe „MK Záhumenice 1. etapa a MK Cintorínska s prislúchajúcou kostrovou IS“</w:t>
      </w:r>
    </w:p>
    <w:p w14:paraId="421FF180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14:paraId="5E80899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8E910" w14:textId="77777777" w:rsidR="00E11EA5" w:rsidRDefault="00E11EA5" w:rsidP="00054FCA">
            <w:pPr>
              <w:spacing w:after="0" w:line="240" w:lineRule="auto"/>
              <w:ind w:left="30" w:right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Pr="00212109">
              <w:rPr>
                <w:rFonts w:ascii="Arial" w:eastAsia="Arial" w:hAnsi="Arial" w:cs="Arial"/>
                <w:color w:val="000000"/>
              </w:rPr>
              <w:t xml:space="preserve">Vypracovanie </w:t>
            </w:r>
            <w:r>
              <w:rPr>
                <w:rFonts w:ascii="Arial" w:eastAsia="Arial" w:hAnsi="Arial" w:cs="Arial"/>
                <w:color w:val="000000"/>
              </w:rPr>
              <w:t>projektovej dokumentácie</w:t>
            </w:r>
            <w:r w:rsidRPr="00212109">
              <w:rPr>
                <w:rFonts w:ascii="Arial" w:eastAsia="Arial" w:hAnsi="Arial" w:cs="Arial"/>
                <w:color w:val="000000"/>
              </w:rPr>
              <w:t xml:space="preserve"> pre územné rozhodnutie (DÚR)</w:t>
            </w:r>
          </w:p>
          <w:p w14:paraId="732AF435" w14:textId="2F596E4E" w:rsidR="00E11EA5" w:rsidRDefault="00E11EA5" w:rsidP="00054FCA">
            <w:pPr>
              <w:spacing w:after="0" w:line="240" w:lineRule="auto"/>
              <w:ind w:left="30" w:right="30"/>
            </w:pPr>
            <w:r w:rsidRPr="00212109">
              <w:rPr>
                <w:rFonts w:ascii="Arial" w:eastAsia="Arial" w:hAnsi="Arial" w:cs="Arial"/>
                <w:color w:val="000000"/>
              </w:rPr>
              <w:t>„MK Záhumenice 1. etapa a MK Cintorínska“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3A62E3D4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212109" w:rsidRPr="00212109">
      <w:rPr>
        <w:rFonts w:ascii="Times New Roman" w:eastAsia="Times New Roman" w:hAnsi="Times New Roman" w:cs="Times New Roman"/>
        <w:color w:val="000000"/>
        <w:sz w:val="18"/>
        <w:szCs w:val="18"/>
      </w:rPr>
      <w:t xml:space="preserve">Vypracovanie a dodanie </w:t>
    </w:r>
    <w:r w:rsidR="00212109">
      <w:rPr>
        <w:rFonts w:ascii="Times New Roman" w:eastAsia="Times New Roman" w:hAnsi="Times New Roman" w:cs="Times New Roman"/>
        <w:color w:val="000000"/>
        <w:sz w:val="18"/>
        <w:szCs w:val="18"/>
      </w:rPr>
      <w:t>PD</w:t>
    </w:r>
    <w:r w:rsidR="00212109" w:rsidRPr="0021210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pre územné rozhodnutie (DÚR) k stavbe „MK Záhumenice 1. etapa a MK Cintorínska s prislúchajúcou kostrovou IS“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B2104"/>
    <w:rsid w:val="009E1824"/>
    <w:rsid w:val="00B86C6A"/>
    <w:rsid w:val="00BA07CF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3</cp:revision>
  <dcterms:created xsi:type="dcterms:W3CDTF">2025-02-17T13:38:00Z</dcterms:created>
  <dcterms:modified xsi:type="dcterms:W3CDTF">2025-02-17T14:01:00Z</dcterms:modified>
</cp:coreProperties>
</file>